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ACEEC">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825CC0E">
      <w:pPr>
        <w:spacing w:line="540" w:lineRule="exact"/>
        <w:jc w:val="center"/>
        <w:rPr>
          <w:rFonts w:ascii="方正小标宋_GBK" w:hAnsi="华文中宋" w:eastAsia="方正小标宋_GBK" w:cs="宋体"/>
          <w:b/>
          <w:kern w:val="0"/>
          <w:sz w:val="48"/>
          <w:szCs w:val="48"/>
        </w:rPr>
      </w:pPr>
    </w:p>
    <w:p w14:paraId="374264E8">
      <w:pPr>
        <w:spacing w:line="540" w:lineRule="exact"/>
        <w:jc w:val="center"/>
        <w:rPr>
          <w:rFonts w:ascii="方正小标宋_GBK" w:hAnsi="华文中宋" w:eastAsia="方正小标宋_GBK" w:cs="宋体"/>
          <w:b/>
          <w:kern w:val="0"/>
          <w:sz w:val="48"/>
          <w:szCs w:val="48"/>
        </w:rPr>
      </w:pPr>
    </w:p>
    <w:p w14:paraId="77ECD025">
      <w:pPr>
        <w:spacing w:line="540" w:lineRule="exact"/>
        <w:jc w:val="center"/>
        <w:rPr>
          <w:rFonts w:ascii="方正小标宋_GBK" w:hAnsi="华文中宋" w:eastAsia="方正小标宋_GBK" w:cs="宋体"/>
          <w:b/>
          <w:kern w:val="0"/>
          <w:sz w:val="48"/>
          <w:szCs w:val="48"/>
        </w:rPr>
      </w:pPr>
    </w:p>
    <w:p w14:paraId="449C52B6">
      <w:pPr>
        <w:spacing w:line="540" w:lineRule="exact"/>
        <w:jc w:val="center"/>
        <w:rPr>
          <w:rFonts w:ascii="方正小标宋_GBK" w:hAnsi="华文中宋" w:eastAsia="方正小标宋_GBK" w:cs="宋体"/>
          <w:b/>
          <w:kern w:val="0"/>
          <w:sz w:val="48"/>
          <w:szCs w:val="48"/>
        </w:rPr>
      </w:pPr>
    </w:p>
    <w:p w14:paraId="659B584F">
      <w:pPr>
        <w:spacing w:line="540" w:lineRule="exact"/>
        <w:jc w:val="center"/>
        <w:rPr>
          <w:rFonts w:ascii="方正小标宋_GBK" w:hAnsi="华文中宋" w:eastAsia="方正小标宋_GBK" w:cs="宋体"/>
          <w:b/>
          <w:kern w:val="0"/>
          <w:sz w:val="48"/>
          <w:szCs w:val="48"/>
        </w:rPr>
      </w:pPr>
    </w:p>
    <w:p w14:paraId="2EDBD746">
      <w:pPr>
        <w:spacing w:line="540" w:lineRule="exact"/>
        <w:jc w:val="center"/>
        <w:rPr>
          <w:rFonts w:ascii="方正小标宋_GBK" w:hAnsi="华文中宋" w:eastAsia="方正小标宋_GBK" w:cs="宋体"/>
          <w:b/>
          <w:kern w:val="0"/>
          <w:sz w:val="48"/>
          <w:szCs w:val="48"/>
        </w:rPr>
      </w:pPr>
    </w:p>
    <w:p w14:paraId="6CA06BD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01289C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AB23B45">
      <w:pPr>
        <w:spacing w:line="540" w:lineRule="exact"/>
        <w:jc w:val="center"/>
        <w:rPr>
          <w:rFonts w:ascii="华文中宋" w:hAnsi="华文中宋" w:eastAsia="华文中宋" w:cs="宋体"/>
          <w:b/>
          <w:kern w:val="0"/>
          <w:sz w:val="52"/>
          <w:szCs w:val="52"/>
        </w:rPr>
      </w:pPr>
    </w:p>
    <w:p w14:paraId="59090255">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905DDCB">
      <w:pPr>
        <w:spacing w:line="700" w:lineRule="exact"/>
        <w:jc w:val="left"/>
        <w:rPr>
          <w:rFonts w:hint="eastAsia" w:hAnsi="宋体" w:eastAsia="仿宋_GB2312" w:cs="宋体"/>
          <w:kern w:val="0"/>
          <w:sz w:val="36"/>
          <w:szCs w:val="36"/>
        </w:rPr>
      </w:pPr>
    </w:p>
    <w:p w14:paraId="4072ED1C">
      <w:pPr>
        <w:spacing w:line="700" w:lineRule="exact"/>
        <w:jc w:val="left"/>
        <w:rPr>
          <w:rFonts w:hint="eastAsia" w:hAnsi="宋体" w:eastAsia="仿宋_GB2312" w:cs="宋体"/>
          <w:kern w:val="0"/>
          <w:sz w:val="36"/>
          <w:szCs w:val="36"/>
        </w:rPr>
      </w:pPr>
    </w:p>
    <w:p w14:paraId="55C86C95">
      <w:pPr>
        <w:spacing w:line="700" w:lineRule="exact"/>
        <w:jc w:val="left"/>
        <w:rPr>
          <w:rFonts w:hint="eastAsia" w:hAnsi="宋体" w:eastAsia="仿宋_GB2312" w:cs="宋体"/>
          <w:kern w:val="0"/>
          <w:sz w:val="36"/>
          <w:szCs w:val="36"/>
          <w:lang w:eastAsia="zh-CN"/>
        </w:rPr>
      </w:pPr>
    </w:p>
    <w:p w14:paraId="2DB7F7C6">
      <w:pPr>
        <w:spacing w:line="700" w:lineRule="exact"/>
        <w:jc w:val="left"/>
        <w:rPr>
          <w:rFonts w:hint="eastAsia" w:hAnsi="宋体" w:eastAsia="仿宋_GB2312" w:cs="宋体"/>
          <w:kern w:val="0"/>
          <w:sz w:val="36"/>
          <w:szCs w:val="36"/>
          <w:lang w:eastAsia="zh-CN"/>
        </w:rPr>
      </w:pPr>
    </w:p>
    <w:p w14:paraId="37D7CA05">
      <w:pPr>
        <w:spacing w:line="700" w:lineRule="exact"/>
        <w:jc w:val="left"/>
        <w:rPr>
          <w:rFonts w:hint="eastAsia" w:hAnsi="宋体" w:eastAsia="仿宋_GB2312" w:cs="宋体"/>
          <w:kern w:val="0"/>
          <w:sz w:val="36"/>
          <w:szCs w:val="36"/>
          <w:lang w:eastAsia="zh-CN"/>
        </w:rPr>
      </w:pPr>
    </w:p>
    <w:p w14:paraId="7C77CFA0">
      <w:pPr>
        <w:spacing w:line="700" w:lineRule="exact"/>
        <w:jc w:val="left"/>
        <w:rPr>
          <w:rFonts w:hint="eastAsia" w:hAnsi="宋体" w:eastAsia="仿宋_GB2312" w:cs="宋体"/>
          <w:kern w:val="0"/>
          <w:sz w:val="36"/>
          <w:szCs w:val="36"/>
          <w:lang w:eastAsia="zh-CN"/>
        </w:rPr>
      </w:pPr>
    </w:p>
    <w:p w14:paraId="7626AC1C">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克州国土资源局</w:t>
      </w:r>
    </w:p>
    <w:p w14:paraId="42D90376">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748140F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79E8EFD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8ADCAA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性质为行政单位，隶属克州人民政府，执行政府财务会计制度。主要职能：履行全民所有土地、矿产、森林、草原、湿地、水等自然资源资产所有者职责和所有国土空间用途管制职责；负责自然资源调查监督评价；负责自然资源统一确权登记工作；负责自然资源资产有偿使用工作；责自然资源的合理开发利用；负责建立空间规划体系并监督实施；负责统筹国土空间生态修复；贯彻执行国家、自治区耕地保护政策并牵头拟订和实施自治州有关政策，负责耕地数量、质量、生态保护。组织实施自治州耕地保护责任目标考核和永久基本农田特殊保护；负责管理地质勘查行业和全州地质工作；负责落实综合防灾减灾规划相关要求，组织编制自治州地质灾害防治规划和防护标准并指导实施；负责矿产资源管理工作；负责测绘地理信息管理工作；根据授权，对县(市)政府落实党中央、国务院关于自然资源和国土空间规划的重大方针政策、决策部署和自治区党委、自治州党委、自治州人民政府工作要求及法律法规执行情况进行督察；完成自治州党委、自治州人民政府、自治区自然资源厅交办的其他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克州自然资源局无下属预算单位，下设5个科室，分别是：办公室、自然资源管理科、国土空间规划和测绘地理信息管理科、国土空间用途管制和耕地保护生态修复科、矿产资源勘查开发管理科。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克州自然资源局编制数46名（行政人员编制 14名，事业人员编制32名），实有人数57人，其中在职人数38人，退休19人。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耕地保护。完善建设用地全程监管制度，推进齐抓共管，进一步加大土地巡查检查监管力度。严守耕地保护红线，坚持节约集约用地，严格落实耕地保护共同责任机制。加强土地利用监管，提高用地服务保障。对各县（市）存在的闲置土地进行有针对性的消化任务分解，盘活闲置土地，督促县（市）加大闲置土地利用工作力度。深入开展违建别墅清理整治工作，全面按照规定摸清底数，研判违法类型，依法进行处理整改。完成克州国土空间规划编制工作。启动市县规划编制工作，确保2021年底钱完成克州及县（市）国土空间规划编制，形成规划文本、图集和数据库。加大矿产资源勘查开发管理力度。一是加快推进克州重要矿产资源勘查力度，推进克州矿产资源总体规划实施，为重要矿产开发及深加工项目提供资源保障。继续做好阿克陶县玛尔坎苏锰成矿带、乌恰县吉根锰成矿带进一步勘查工作，增加锰矿资源量，为锰矿深加工项目扩能达产提供资源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自然资源局集体决策制度》和《</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自然资源局合同管理办法》相关规定，</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903.91万元，项目支出安排资金3088.33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本单位2021年度项目支出3088.83万元，涉及项目数量33个，其中：重点项目支出118.80万元，涉及重点项目数量1个，重点项目支出与部门项目总支出（除去73类资金项目2773万元）的比率为21.68%。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2021年度本单位年初批复部门预算资金总额为794.40万元，年中调增预算总额为3233.33万元，调整后全年预算资金总额为4027.73万元。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2021年度本单位部门整体支出资金总额为3992.75万元，预算执行率为99.13%，预算调整率为</w:t>
      </w:r>
      <w:r>
        <w:rPr>
          <w:rFonts w:hint="eastAsia" w:ascii="仿宋_GB2312" w:hAnsi="宋体" w:eastAsia="仿宋_GB2312"/>
          <w:b w:val="0"/>
          <w:bCs/>
          <w:sz w:val="32"/>
          <w:szCs w:val="32"/>
          <w:lang w:val="en-US" w:eastAsia="zh-CN"/>
        </w:rPr>
        <w:t>431.46</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年初政府采购预算数为127.8万元，实际政府采购数为3229.49万元，政府采购执行率为252.69%。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1B9E2F2">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219595F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自然资源局内部控制规范》《</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2021年度我单位基本支出预算总额为903.91万元，其中人员经费740.44万元，公用经费163.47万元。实际执行总额为903.91万元，预算执行率100%。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8.25万元，比上年减少4.47万元，减少35.14%，主要原因是：按照厉行节约的要求，2021年缩减公务车运行维护费，因此支出随之减少。其中，因公出国（境）费支出0万元；公务用车购置及运行维护费支出6.79万元；公务接待费支出1.46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与年初预算数相比情况：一般公共预算“三公”经费支出年初预算数16.50万元，预算执行数为8.25万元，执行率为50%，主要原因是：按照厉行节约的要求，2021年缩减公务车运行维护费，因此支出随之减少。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2021年度本单位项目支出预算总额为3353.48万元，实际执行资金总额为3088.83万元，预算执行率为92.11%。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2805.37万元，实际支出资金2568.70万元，预算执行率为91.56%，涉及项目个数9个，专项资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（1）阿图什昆山产业园区南侧采砂坑地质环境治理项目:全年预算数为250万元，预算执行数为238万元，预算执行率为95.20%。</w:t>
      </w:r>
      <w:r>
        <w:rPr>
          <w:rFonts w:hint="eastAsia" w:ascii="仿宋_GB2312" w:hAnsi="宋体" w:eastAsia="仿宋_GB2312"/>
          <w:b w:val="0"/>
          <w:bCs/>
          <w:sz w:val="32"/>
          <w:szCs w:val="32"/>
        </w:rPr>
        <w:cr/>
      </w:r>
      <w:r>
        <w:rPr>
          <w:rFonts w:hint="eastAsia" w:ascii="仿宋_GB2312" w:hAnsi="宋体" w:eastAsia="仿宋_GB2312"/>
          <w:b w:val="0"/>
          <w:bCs/>
          <w:sz w:val="32"/>
          <w:szCs w:val="32"/>
        </w:rPr>
        <w:t>　　（2）阿克陶县玉麦乡、皮拉勒乡采坑地质环境治理项目：全年预算数为360万元，预算执行数为342.75万元，预算执行率为95.21%。</w:t>
      </w:r>
      <w:r>
        <w:rPr>
          <w:rFonts w:hint="eastAsia" w:ascii="仿宋_GB2312" w:hAnsi="宋体" w:eastAsia="仿宋_GB2312"/>
          <w:b w:val="0"/>
          <w:bCs/>
          <w:sz w:val="32"/>
          <w:szCs w:val="32"/>
        </w:rPr>
        <w:cr/>
      </w:r>
      <w:r>
        <w:rPr>
          <w:rFonts w:hint="eastAsia" w:ascii="仿宋_GB2312" w:hAnsi="宋体" w:eastAsia="仿宋_GB2312"/>
          <w:b w:val="0"/>
          <w:bCs/>
          <w:sz w:val="32"/>
          <w:szCs w:val="32"/>
        </w:rPr>
        <w:t>　　（3）自然灾害防治体系建设补助资金:全年预算数为1190万元，预算执行数为1073.72万元，预算执行率为90.23%。</w:t>
      </w:r>
      <w:r>
        <w:rPr>
          <w:rFonts w:hint="eastAsia" w:ascii="仿宋_GB2312" w:hAnsi="宋体" w:eastAsia="仿宋_GB2312"/>
          <w:b w:val="0"/>
          <w:bCs/>
          <w:sz w:val="32"/>
          <w:szCs w:val="32"/>
        </w:rPr>
        <w:cr/>
      </w:r>
      <w:r>
        <w:rPr>
          <w:rFonts w:hint="eastAsia" w:ascii="仿宋_GB2312" w:hAnsi="宋体" w:eastAsia="仿宋_GB2312"/>
          <w:b w:val="0"/>
          <w:bCs/>
          <w:sz w:val="32"/>
          <w:szCs w:val="32"/>
        </w:rPr>
        <w:t>　　（4）群众工作及第一书记为民办实事经费项目:全年预算数为17万元，预算执行数为17万元，预算执行率为100%。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（5）2021年度自治区财政出资地质灾害防治项目:全年预算数为340万元，预算执行数为295.86万元，预算执行率为97.02%。</w:t>
      </w:r>
      <w:r>
        <w:rPr>
          <w:rFonts w:hint="eastAsia" w:ascii="仿宋_GB2312" w:hAnsi="宋体" w:eastAsia="仿宋_GB2312"/>
          <w:b w:val="0"/>
          <w:bCs/>
          <w:sz w:val="32"/>
          <w:szCs w:val="32"/>
        </w:rPr>
        <w:cr/>
      </w:r>
      <w:r>
        <w:rPr>
          <w:rFonts w:hint="eastAsia" w:ascii="仿宋_GB2312" w:hAnsi="宋体" w:eastAsia="仿宋_GB2312"/>
          <w:b w:val="0"/>
          <w:bCs/>
          <w:sz w:val="32"/>
          <w:szCs w:val="32"/>
        </w:rPr>
        <w:t>　　（6）阿克陶县玉麦乡阿勒吞其村废弃采砂坑地质环境治理项目:全年预算数为453万元，预算执行数为423.72万元，预算执行率为93.50%。</w:t>
      </w:r>
      <w:r>
        <w:rPr>
          <w:rFonts w:hint="eastAsia" w:ascii="仿宋_GB2312" w:hAnsi="宋体" w:eastAsia="仿宋_GB2312"/>
          <w:b w:val="0"/>
          <w:bCs/>
          <w:sz w:val="32"/>
          <w:szCs w:val="32"/>
        </w:rPr>
        <w:cr/>
      </w:r>
      <w:r>
        <w:rPr>
          <w:rFonts w:hint="eastAsia" w:ascii="仿宋_GB2312" w:hAnsi="宋体" w:eastAsia="仿宋_GB2312"/>
          <w:b w:val="0"/>
          <w:bCs/>
          <w:sz w:val="32"/>
          <w:szCs w:val="32"/>
        </w:rPr>
        <w:t>　　（7）克州G3012吐和高速沿线8个废弃采砂坑地质环境整治项目:全年预算数为180万元，预算执行数为166.98万元，预算执行率为92.77%。</w:t>
      </w:r>
      <w:r>
        <w:rPr>
          <w:rFonts w:hint="eastAsia" w:ascii="仿宋_GB2312" w:hAnsi="宋体" w:eastAsia="仿宋_GB2312"/>
          <w:b w:val="0"/>
          <w:bCs/>
          <w:sz w:val="32"/>
          <w:szCs w:val="32"/>
        </w:rPr>
        <w:cr/>
      </w:r>
      <w:r>
        <w:rPr>
          <w:rFonts w:hint="eastAsia" w:ascii="仿宋_GB2312" w:hAnsi="宋体" w:eastAsia="仿宋_GB2312"/>
          <w:b w:val="0"/>
          <w:bCs/>
          <w:sz w:val="32"/>
          <w:szCs w:val="32"/>
        </w:rPr>
        <w:t>　　（8）2020年土地开发出让金土地整治项目（尾款）项目:全年预算数为9.08万元，预算执行数为4.38万元，预算执行率为48.21%。</w:t>
      </w:r>
      <w:r>
        <w:rPr>
          <w:rFonts w:hint="eastAsia" w:ascii="仿宋_GB2312" w:hAnsi="宋体" w:eastAsia="仿宋_GB2312"/>
          <w:b w:val="0"/>
          <w:bCs/>
          <w:sz w:val="32"/>
          <w:szCs w:val="32"/>
        </w:rPr>
        <w:cr/>
      </w:r>
      <w:r>
        <w:rPr>
          <w:rFonts w:hint="eastAsia" w:ascii="仿宋_GB2312" w:hAnsi="宋体" w:eastAsia="仿宋_GB2312"/>
          <w:b w:val="0"/>
          <w:bCs/>
          <w:sz w:val="32"/>
          <w:szCs w:val="32"/>
        </w:rPr>
        <w:t>　　（9）2016年和2018年土地整治项目项目:全年预算数为6.29万元，预算执行数为6.29万元，预算执行率为100%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2021年度预算安排本级财力资金548.11万元，实际支出资金520.14万元，预算执行率为94.90%，涉及项目个数26个，各项目详细执行情况如下：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（1）群众工作经费项目:全年预算数为7万元，预算执行数为3.06万元，预算执行率为43.75%。</w:t>
      </w:r>
      <w:r>
        <w:rPr>
          <w:rFonts w:hint="eastAsia" w:ascii="仿宋_GB2312" w:hAnsi="宋体" w:eastAsia="仿宋_GB2312"/>
          <w:b w:val="0"/>
          <w:bCs/>
          <w:sz w:val="32"/>
          <w:szCs w:val="32"/>
        </w:rPr>
        <w:cr/>
      </w:r>
      <w:r>
        <w:rPr>
          <w:rFonts w:hint="eastAsia" w:ascii="仿宋_GB2312" w:hAnsi="宋体" w:eastAsia="仿宋_GB2312"/>
          <w:b w:val="0"/>
          <w:bCs/>
          <w:sz w:val="32"/>
          <w:szCs w:val="32"/>
        </w:rPr>
        <w:t>　　（2）食堂维修经费项目:全年预算数为10.35万元，预算执行数为4.44万元，预算执行率为42.90%。</w:t>
      </w:r>
      <w:r>
        <w:rPr>
          <w:rFonts w:hint="eastAsia" w:ascii="仿宋_GB2312" w:hAnsi="宋体" w:eastAsia="仿宋_GB2312"/>
          <w:b w:val="0"/>
          <w:bCs/>
          <w:sz w:val="32"/>
          <w:szCs w:val="32"/>
        </w:rPr>
        <w:cr/>
      </w:r>
      <w:r>
        <w:rPr>
          <w:rFonts w:hint="eastAsia" w:ascii="仿宋_GB2312" w:hAnsi="宋体" w:eastAsia="仿宋_GB2312"/>
          <w:b w:val="0"/>
          <w:bCs/>
          <w:sz w:val="32"/>
          <w:szCs w:val="32"/>
        </w:rPr>
        <w:t>　　（3）地质灾害隐患、4个地质灾害防治项目、矿山安全生产监督巡查经费项目:全年预算数为10.5万元，预算执行数为10.5万元，预算执行率为100%。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（4）自治州基础测绘“十四五”规划编制项目:全年预算数为45万元，预算执行数为45万元，预算执行率为100%。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（5）2021年度土地变更调查与遥感监测项目:全年预算数为9万元，预算执行数为9万元，预算执行率为100%。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（6）克州矿产资源规划（2021-2025）项目:全年预算数为27万元，预算执行数为27万元，预算执行率为100%。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（7）克州地质灾害防治（2021-2025）项目:全年预算数为24万元，预算执行数为24万元，预算执行率为100%。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（8）克州地质灾害防治数据库项目项目:全年预算数为33.60万元，预算执行数为33.60万元，预算执行率为100%。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（9）克州建筑用砂开采规划编制项目:全年预算数为18万元，预算执行数为18万元，预算执行率为100%。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（10）克州矿产资源分布图编制项目:全年预算数为17.5万元，预算执行数为17.5万元，预算执行率为100%。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（11）克州2020年中央财政出资地质灾害防治项目前期费用项目:全年预算数为26.5万元，预算执行数为26.5万元，预算执行率为100%。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（12）克州2021年中央财政出资地质灾害防治项目前期费用项目:全年预算数为20万元，预算执行数为20万元，预算执行率为100%。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（13）自治州第一次全国自然灾害综合风险普查经费项目:全年预算数为21万元，预算执行数为21万元，预算执行率为100%。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（14）克州矿产资源远景开发图编制项目:全年预算数为21万元，预算执行数为21万元，预算执行率为100%。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（15）吐尔尕特口岸土地评估资金项目:全年预算数为3.66万元，预算执行数为3.66万元，预算执行率为100%。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（16）乌恰县交于力干小学自然灾害调查报告及立项报告经费项目:全年预算数为3.5万元，预算执行数为3.5万元，预算执行率为100%。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（17）自治州第三次全国国土调查州级数据库建设经费项目:全年预算数为132万元，预算执行数为118.8万元，预算执行率为90%。</w:t>
      </w:r>
      <w:r>
        <w:rPr>
          <w:rFonts w:hint="eastAsia" w:ascii="仿宋_GB2312" w:hAnsi="宋体" w:eastAsia="仿宋_GB2312"/>
          <w:b w:val="0"/>
          <w:bCs/>
          <w:sz w:val="32"/>
          <w:szCs w:val="32"/>
        </w:rPr>
        <w:cr/>
      </w:r>
      <w:r>
        <w:rPr>
          <w:rFonts w:hint="eastAsia" w:ascii="仿宋_GB2312" w:hAnsi="宋体" w:eastAsia="仿宋_GB2312"/>
          <w:b w:val="0"/>
          <w:bCs/>
          <w:sz w:val="32"/>
          <w:szCs w:val="32"/>
        </w:rPr>
        <w:t>　　（18）土地矿产卫片执法经费项目:全年预算数为10万元，预算执行数为7.46万元，预算执行率为74.6%。</w:t>
      </w:r>
      <w:r>
        <w:rPr>
          <w:rFonts w:hint="eastAsia" w:ascii="仿宋_GB2312" w:hAnsi="宋体" w:eastAsia="仿宋_GB2312"/>
          <w:b w:val="0"/>
          <w:bCs/>
          <w:sz w:val="32"/>
          <w:szCs w:val="32"/>
        </w:rPr>
        <w:cr/>
      </w:r>
      <w:r>
        <w:rPr>
          <w:rFonts w:hint="eastAsia" w:ascii="仿宋_GB2312" w:hAnsi="宋体" w:eastAsia="仿宋_GB2312"/>
          <w:b w:val="0"/>
          <w:bCs/>
          <w:sz w:val="32"/>
          <w:szCs w:val="32"/>
        </w:rPr>
        <w:t>　　（19）第三次国土资源调查经费项目:全年预算数为16万元，预算执行数为16万元，预算执行率为100%。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（20）自治州矿产资源规划（2021-2025年）三个规划编制费用项目:全年预算数为34.5万元，预算执行数为34.5万元，预算执行率为100%。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（21）应急公共地图服务工作经费项目:全年预算数为10万元，预算执行数为10万元，预算执行率为100%。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（22）农村乱占耕地建房问题整治工作经费项目:全年预算数为15万元，预算执行数为14.24万元，预算执行率为94.95%。</w:t>
      </w:r>
      <w:r>
        <w:rPr>
          <w:rFonts w:hint="eastAsia" w:ascii="仿宋_GB2312" w:hAnsi="宋体" w:eastAsia="仿宋_GB2312"/>
          <w:b w:val="0"/>
          <w:bCs/>
          <w:sz w:val="32"/>
          <w:szCs w:val="32"/>
        </w:rPr>
        <w:cr/>
      </w:r>
      <w:r>
        <w:rPr>
          <w:rFonts w:hint="eastAsia" w:ascii="仿宋_GB2312" w:hAnsi="宋体" w:eastAsia="仿宋_GB2312"/>
          <w:b w:val="0"/>
          <w:bCs/>
          <w:sz w:val="32"/>
          <w:szCs w:val="32"/>
        </w:rPr>
        <w:t>　　（23）自治州权限内二类矿业权储量核实报告评审及采矿权出让收益评估项目:全年预算数为10万元，预算执行数为10万元，预算执行率为100%。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（24）新疆阿克陶县同由路克石膏矿普查等4个探矿权评估费项目:全年预算数为20万元，预算执行数为20万元，预算执行率为100%。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（25）人事档案数字化经费项目:全年预算数为3万元，预算执行数为1.37万元，预算执行率为45.67%。</w:t>
      </w:r>
    </w:p>
    <w:p w14:paraId="2E67CC3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7C6BF5B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91.56%。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（1）阿图什昆山产业园区南侧采砂坑地质环境治理项目:关于提前下达2021年中央重点生态保护修复治理资金预算（第二批）的通知，新财资环【2020】86号。</w:t>
      </w:r>
      <w:r>
        <w:rPr>
          <w:rFonts w:hint="eastAsia" w:ascii="仿宋_GB2312" w:hAnsi="宋体" w:eastAsia="仿宋_GB2312"/>
          <w:b w:val="0"/>
          <w:bCs/>
          <w:sz w:val="32"/>
          <w:szCs w:val="32"/>
        </w:rPr>
        <w:cr/>
      </w:r>
      <w:r>
        <w:rPr>
          <w:rFonts w:hint="eastAsia" w:ascii="仿宋_GB2312" w:hAnsi="宋体" w:eastAsia="仿宋_GB2312"/>
          <w:b w:val="0"/>
          <w:bCs/>
          <w:sz w:val="32"/>
          <w:szCs w:val="32"/>
        </w:rPr>
        <w:t>　　（2）阿克陶县玉麦乡、皮拉勒乡采坑地质环境治理项目：关于提前下达2021年中央重点生态保护修复治理资金预算（第二批）的通知，新财资环【2020】86号。</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（3）自然灾害防治体系建设补助资金:根据《关于提前下达2021年中央自然灾害防治体系建设补助资金（第一批）的通知》文件。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4）群众工作及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（5）2021年度自治区财政出资地质灾害防治项目:依据《关于调整下达2021年自治区自然资源厅本级项目资金预算（第一批）的通知》（新财资环[2021]32号）文件。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（6）阿克陶县玉麦乡阿勒吞其村废弃采砂坑地质环境治理项目:依据《关于调整下达2021年自治区自然资源厅本级项目资金预算（第一批）的通知》（新财资环[2021]32号）文件。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（7）克州G3012吐和高速沿线8个废弃采砂坑地质环境整治项目:依据《关于下达2021年中央重点生态保护修复治理资金预算（第四批）的通知》（克财建[2021]42号）文件。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（8）2020年土地开发出让金土地整治项目（尾款）项目:关于下达2018年自治区土地整治项目支出预算（第三批）的通知（新财建【2018】186号）文件。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（9）2016年和2018年土地整治项目项目:新财建【2015】109号）。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项专项，总投入共计2805.37万元，资金全部到位，实际使用资金2568.70万元，专项资金执行率为91.56%。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自然资源局经费使用规范》,为合理合规使用经费提供了有力的制度保障。同时,建立区委组织部项目经费内部管控制度，并严格按要求落实。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成本节约：我单位7个项目成本均未超预算，预算执行率达91.56%。</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我单位共有7个项目，项目实施进度已达到91.56%.</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（1）阿图什昆山产业园区南侧采砂坑地质环境治理项目:主要用于历史遗留废弃矿山环境修复治理项目工作，有利于有效提升实施区域历史遗留工矿废弃地复垦利用率，有效下降实施区域矿山地质灾害隐患。</w:t>
      </w:r>
      <w:r>
        <w:rPr>
          <w:rFonts w:hint="eastAsia" w:ascii="仿宋_GB2312" w:hAnsi="宋体" w:eastAsia="仿宋_GB2312"/>
          <w:b w:val="0"/>
          <w:bCs/>
          <w:sz w:val="32"/>
          <w:szCs w:val="32"/>
        </w:rPr>
        <w:cr/>
      </w:r>
      <w:r>
        <w:rPr>
          <w:rFonts w:hint="eastAsia" w:ascii="仿宋_GB2312" w:hAnsi="宋体" w:eastAsia="仿宋_GB2312"/>
          <w:b w:val="0"/>
          <w:bCs/>
          <w:sz w:val="32"/>
          <w:szCs w:val="32"/>
        </w:rPr>
        <w:t>　　（2）阿克陶县玉麦乡、皮拉勒乡采坑地质环境治理项目：主要用于主要用于历史遗留废弃矿山环境修复治理项目工作，有利于有效提升实施区域历史遗留工矿废弃地复垦利用率，有效下降实施区域矿山地质灾害隐患。</w:t>
      </w:r>
      <w:r>
        <w:rPr>
          <w:rFonts w:hint="eastAsia" w:ascii="仿宋_GB2312" w:hAnsi="宋体" w:eastAsia="仿宋_GB2312"/>
          <w:b w:val="0"/>
          <w:bCs/>
          <w:sz w:val="32"/>
          <w:szCs w:val="32"/>
        </w:rPr>
        <w:cr/>
      </w:r>
      <w:r>
        <w:rPr>
          <w:rFonts w:hint="eastAsia" w:ascii="仿宋_GB2312" w:hAnsi="宋体" w:eastAsia="仿宋_GB2312"/>
          <w:b w:val="0"/>
          <w:bCs/>
          <w:sz w:val="32"/>
          <w:szCs w:val="32"/>
        </w:rPr>
        <w:t>　　（3）自然灾害防治体系建设补助资金:主要用于克州地质灾害调查及普适性监测设备安装，开展阿克陶县、乌恰县、阿合奇县、阿图什市地质灾害更新调查；阿克陶县阿克塔拉牧场中心小学泥石流灾害治理工程；克州安装专业普适性监测设备20个。有利于减少对全州经济建设和社会发展的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4）群众工作及第一书记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（5）2021年度自治区财政出资地质灾害防治项目:主要用于4处地质灾害隐患点开展专项勘查项目工作，有利于提高基层地质灾害防治工作水平，切实提高克州地质灾害防范能力。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6）阿克陶县玉麦乡阿勒吞其村废弃采砂坑地质环境治理项目:主要用于基本恢复原始地形地貌景观，改善土地功能，减少或消除采砂坑及废料对当地环境的影响，历史遗留矿山生态修复，实施区域矿山地质灾害隐患点开展专项勘查工作，有利于实施区域群众生命财产安全保障提升，实施区域地质景观改善，实施区域生态系统与周边本地生态系统协调性提升。</w:t>
      </w:r>
      <w:r>
        <w:rPr>
          <w:rFonts w:hint="eastAsia" w:ascii="仿宋_GB2312" w:hAnsi="宋体" w:eastAsia="仿宋_GB2312"/>
          <w:b w:val="0"/>
          <w:bCs/>
          <w:sz w:val="32"/>
          <w:szCs w:val="32"/>
        </w:rPr>
        <w:cr/>
      </w:r>
      <w:r>
        <w:rPr>
          <w:rFonts w:hint="eastAsia" w:ascii="仿宋_GB2312" w:hAnsi="宋体" w:eastAsia="仿宋_GB2312"/>
          <w:b w:val="0"/>
          <w:bCs/>
          <w:sz w:val="32"/>
          <w:szCs w:val="32"/>
        </w:rPr>
        <w:t>　　（7）克州G3012吐和高速沿线8个废弃采砂坑地质环境整治项目:主要用于历史遗留矿山生态修复工作，有利于有效提升实施区域历史遗留工矿废弃地复垦利用率，改善实施区域地貌景观，提升实施区域植被覆盖。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（8）2020年土地开发出让金土地整治项目（尾款）项目:主要用于加强土地利用监管，提高用地服务保障，有利于完善田间道路系统和农田灌溉系统，耕地质量将得到全面提高。</w:t>
      </w:r>
      <w:r>
        <w:rPr>
          <w:rFonts w:hint="eastAsia" w:ascii="仿宋_GB2312" w:hAnsi="宋体" w:eastAsia="仿宋_GB2312"/>
          <w:b w:val="0"/>
          <w:bCs/>
          <w:sz w:val="32"/>
          <w:szCs w:val="32"/>
        </w:rPr>
        <w:cr/>
      </w:r>
      <w:r>
        <w:rPr>
          <w:rFonts w:hint="eastAsia" w:ascii="仿宋_GB2312" w:hAnsi="宋体" w:eastAsia="仿宋_GB2312"/>
          <w:b w:val="0"/>
          <w:bCs/>
          <w:sz w:val="32"/>
          <w:szCs w:val="32"/>
        </w:rPr>
        <w:t>　　（9）2016年和2018年土地整治项目项目:主要用于土地整治，有利于合理、高效、集约的土地利用结构，完善田间灌溉体制。</w:t>
      </w:r>
    </w:p>
    <w:p w14:paraId="40B92D7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34A5700C">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本单位2021年初资产合计数为5955.26万元，年末资产合计数为5437.52万元。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截止本年度固定资产账面净值246.16万元，年末实际在用固定资产246.16万元，固定资产利用率为100%。</w:t>
      </w:r>
    </w:p>
    <w:p w14:paraId="05FBAB5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74CE780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部门单位整体支出共设置一级指标3个，二级指标7个，三级指标13个，其中已完成三级指标11个，指标完成率为84.62%。</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“确保人员人数”指标：预期指标值为=59人，实际完成指标值为57人，指标完成率为96.61%。偏差原因：2021年2人辞职，改进措施：做好年初预算。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“开展群众工作人数”指标：预期指标值为=13人，实际完成指标值为13人，指标完成率为100%。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“下发图斑核查次数”指标：预期指标值为≧20次，实际完成指标值为20次，指标完成率为100%。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“地质灾害巡查检查次数”指标：预期指标值为≧5次，实际完成指标值为5次，指标完成率为100%。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“耕地质量等别提高（级）”指标：预期指标值为=1级，实际完成指标值为1级，指标完成率为100%。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“完成辖区各县级土地权属调查工作进度（%）”指标：预期指标值为&gt;=90%，实际完成指标值为95%，指标完成率为100%。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“工作按期开展及时率（%）”指标：预期指标值为=90%，实际完成指标值为90%，指标完成率为100%。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218.05万元，实际完成指标值为164.37万元，指标完成率为75.38%。偏差原因：办公用品发票未及时到位，无法形成支出；54.1万元资金未到位；改进措施：及时开票形成支出，做好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“人员经费（万元）”指标：预期指标值为=542.35万元，实际完成指标值为=542.35万元，指标完成率为100%。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“项目支出（万元）”指标：预期指标值为=34万元，实际完成指标值为34万元，指标完成率为100%。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“促进自然资源行业健康发展”指标：预期指标值为有效促进，实际完成指标值为有效保障，指标完成率为100%。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“提高服务质量和管理水平”指标：预期指标值为有所提高，实际完成指标值为有所提高，指标完成率为100%。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“提高辖区内耕地及基本农田保护。”指标：预期指标值为有效提高，实际完成指标值为100，指标完成率为100%;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14:paraId="478B1BE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8770BD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FA4B0C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7247B1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26C0BC2"/>
    <w:rsid w:val="24B86128"/>
    <w:rsid w:val="30824C5E"/>
    <w:rsid w:val="46574EF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12589</Words>
  <Characters>13497</Characters>
  <Lines>2</Lines>
  <Paragraphs>1</Paragraphs>
  <TotalTime>32</TotalTime>
  <ScaleCrop>false</ScaleCrop>
  <LinksUpToDate>false</LinksUpToDate>
  <CharactersWithSpaces>13874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2025-07-31T03:24:56Z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